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Διεξαγωγής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1. </w:t>
      </w:r>
      <w:r>
        <w:rPr>
          <w:rFonts w:ascii="Arial" w:hAnsi="Arial" w:cs="Arial"/>
        </w:rPr>
        <w:t>Ορισμοί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όροι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χρησιμοποιούνται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σύμφωνα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κανονισμό</w:t>
      </w:r>
      <w:r>
        <w:rPr>
          <w:rFonts w:ascii="TT15Ct00" w:hAnsi="TT15Ct00" w:cs="TT15Ct00"/>
        </w:rPr>
        <w:t xml:space="preserve"> Gambling Act 2003 (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Νόμος</w:t>
      </w:r>
      <w:r>
        <w:rPr>
          <w:rFonts w:ascii="TT15Ct00" w:hAnsi="TT15Ct00" w:cs="TT15Ct00"/>
        </w:rPr>
        <w:t xml:space="preserve">), </w:t>
      </w:r>
      <w:r>
        <w:rPr>
          <w:rFonts w:ascii="Arial" w:hAnsi="Arial" w:cs="Arial"/>
        </w:rPr>
        <w:t>εκτός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κείμενο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απαιτεί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διαφορετικά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αντίθετα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πρόθεση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εμφανιστεί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2. </w:t>
      </w:r>
      <w:r>
        <w:rPr>
          <w:rFonts w:ascii="Arial" w:hAnsi="Arial" w:cs="Arial"/>
        </w:rPr>
        <w:t>Προετοιμασία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Δεοντολογίας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εκπονήθηκε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Αυστραλιανή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Ξενοδόχων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Βικτόρια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έγκριση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γραμμένο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τρόπο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επιτρέψουν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γίνεται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άμεσα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κατανοητό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Είχε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προετοιμαστεί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πρόθεση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γράψει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απλή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γλώσσα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παρουσιάζονται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τέτοιο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τρόπο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ώστε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ευλόγως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προσιτά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>,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συμπεριλαμβανομένων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πολιτιστικά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γλωσσικά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υπόβαθρα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3. </w:t>
      </w:r>
      <w:r>
        <w:rPr>
          <w:rFonts w:ascii="Arial" w:hAnsi="Arial" w:cs="Arial"/>
        </w:rPr>
        <w:t>Διαθεσιμότητα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διατεθεί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γραπτή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μορφή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κατόπιν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αιτήματος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σημάδι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συμβουλεύει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είσοδο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σταθμό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ταμία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επίσης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κοινοτικές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γλώσσες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ιστοσελίδα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όπου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δυνατόν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Γλώσσες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Ελληνική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ιταλικά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Βιετνάμ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Κινέζικα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Αραβικά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Τουρκικά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ισπανικά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4. </w:t>
      </w:r>
      <w:r>
        <w:rPr>
          <w:rFonts w:ascii="Arial" w:hAnsi="Arial" w:cs="Arial"/>
        </w:rPr>
        <w:t>Μήνυμα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ακόλουθο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μήνυμα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εμφανιστεί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είσοδο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σταθμό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ταμία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"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δεσμευτεί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υψηλότερα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πρότυπα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εξυπηρέτησης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περιγράφει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κάνουμε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Υπεύθυνος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ρυθμιζόμενο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περιβάλλον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καταναλωτές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ενημερωμένες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επιλογές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εξασκήσουν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ορθολογική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λογική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επιλογή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βάσει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περιστάσεων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Σημαίνει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κοινή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ευθύνη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συλλογική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δράση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βιομηχανίας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κυβέρνησης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ατόμων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κοινοτήτων</w:t>
      </w:r>
      <w:r>
        <w:rPr>
          <w:rFonts w:ascii="TT15Ct00" w:hAnsi="TT15Ct00" w:cs="TT15Ct00"/>
        </w:rPr>
        <w:t>. "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5.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ενημέρωση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διάφορες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μορφές</w:t>
      </w:r>
      <w:r>
        <w:rPr>
          <w:rFonts w:ascii="TT15Ct00" w:hAnsi="TT15Ct00" w:cs="TT15Ct00"/>
        </w:rPr>
        <w:t>,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συμπεριλαμβανομένων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φυλλαδίων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αφισών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Ηλεκτρονικών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Μηχανημάτων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(EGM)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οθόνες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Παίκτη</w:t>
      </w:r>
      <w:r>
        <w:rPr>
          <w:rFonts w:ascii="TT15Ct00" w:hAnsi="TT15Ct00" w:cs="TT15Ct00"/>
        </w:rPr>
        <w:t xml:space="preserve"> (PID).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Παραδείγματα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παίζετε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β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κάνετε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κρατήσετε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απόφαση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δέσμευσης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διαθεσιμότητα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καταβολή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κερδών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απαγόρευση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παροχής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πίστωσης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στ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πρόγραμμα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αποκλεισμού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πρόγραμμα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αποκλεισμού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πρόγραμμα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μιλήσουν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περιφερειακό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διευθυντή</w:t>
      </w:r>
      <w:r>
        <w:rPr>
          <w:rFonts w:ascii="TT15Ct00" w:hAnsi="TT15Ct00" w:cs="TT15Ct00"/>
        </w:rPr>
        <w:t xml:space="preserve"> Duty Officer Gaming /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πάρτε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αντίγραφο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φυλλαδίου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</w:t>
      </w:r>
      <w:r>
        <w:rPr>
          <w:rFonts w:ascii="TT15Ct00" w:hAnsi="TT15Ct00" w:cs="TT15Ct00"/>
        </w:rPr>
        <w:t>-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αποκλεισμός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Οθόνες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προβολής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επίσης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δείξουν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περιοδικά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άκρες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στοιχεία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επικοινωνίας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πληροφόρησης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τζόγου</w:t>
      </w:r>
      <w:r>
        <w:rPr>
          <w:rFonts w:ascii="TT15Ct00" w:hAnsi="TT15Ct00" w:cs="TT15Ct00"/>
        </w:rPr>
        <w:t>. (</w:t>
      </w:r>
      <w:r>
        <w:rPr>
          <w:rFonts w:ascii="Arial" w:hAnsi="Arial" w:cs="Arial"/>
        </w:rPr>
        <w:t>Αυτό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ισχύει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μόνο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οθόνες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προβολής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θέση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>.)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ζ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Περισσότερες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περισσότερες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>,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περιλαμβάνει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αποκτήσετε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πρόσβαση</w:t>
      </w:r>
      <w:r>
        <w:rPr>
          <w:rFonts w:ascii="TT15Ct00" w:hAnsi="TT15Ct00" w:cs="TT15Ct00"/>
        </w:rPr>
        <w:t xml:space="preserve"> www.moneysmart.gov.au «</w:t>
      </w:r>
      <w:r>
        <w:rPr>
          <w:rFonts w:ascii="Arial" w:hAnsi="Arial" w:cs="Arial"/>
        </w:rPr>
        <w:t>Έξυπνο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χρήμα</w:t>
      </w:r>
      <w:r>
        <w:rPr>
          <w:rFonts w:ascii="TT15Ct00" w:hAnsi="TT15Ct00" w:cs="TT15Ct00"/>
        </w:rPr>
        <w:t xml:space="preserve">»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ιστοσελίδα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Κοινοπολιτείας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>
        <w:rPr>
          <w:rFonts w:ascii="Helvetica-Oblique" w:hAnsi="Helvetica-Oblique" w:cs="Helvetica-Oblique"/>
          <w:i/>
          <w:iCs/>
        </w:rPr>
        <w:t xml:space="preserve">Gambling Regulation Act </w:t>
      </w:r>
      <w:r>
        <w:rPr>
          <w:rFonts w:ascii="Helvetica" w:hAnsi="Helvetica" w:cs="Helvetica"/>
        </w:rPr>
        <w:t>2003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prohibits this venue from providing credit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customers for playing gaming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machines.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τζογαδόροι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οικογένειές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φίλους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βρουν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υποστήριξης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προγράμματα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αποκλεισμού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πρόβλημα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Πολιτειακής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Κυβέρνησης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www.problemgambling.vic.gov.au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ιστοσελίδα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παρόμοια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οικιακά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κυβέρνηση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ιστοσελίδα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προϋπολογισμού</w:t>
      </w:r>
      <w:r>
        <w:rPr>
          <w:rFonts w:ascii="TT15Ct00" w:hAnsi="TT15Ct00" w:cs="TT15Ct00"/>
        </w:rPr>
        <w:t>).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6.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Προϊόντων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κανόνες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κάθε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Ηλεκτρονικό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Μηχάνημα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(EGM)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συμπεριλαμβανομένων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πιθανοτήτων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κερδίσετε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πηγαίνει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παίκτη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Προβολή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</w:t>
      </w:r>
      <w:r>
        <w:rPr>
          <w:rFonts w:ascii="Arial" w:hAnsi="Arial" w:cs="Arial"/>
        </w:rPr>
        <w:t>ΠΑΑ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οθόνες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μηχάνημα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δείτε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οθόνες</w:t>
      </w:r>
      <w:r>
        <w:rPr>
          <w:rFonts w:ascii="TT15Ct00" w:hAnsi="TT15Ct00" w:cs="TT15Ct00"/>
        </w:rPr>
        <w:t xml:space="preserve"> PID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ανάγνωση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οθόνης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Παίκτη</w:t>
      </w:r>
      <w:r>
        <w:rPr>
          <w:rFonts w:ascii="TT15Ct00" w:hAnsi="TT15Ct00" w:cs="TT15Ct00"/>
        </w:rPr>
        <w:t xml:space="preserve"> (PID) </w:t>
      </w:r>
      <w:r>
        <w:rPr>
          <w:rFonts w:ascii="Arial" w:hAnsi="Arial" w:cs="Arial"/>
        </w:rPr>
        <w:t>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ενημερωτικό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φυλλάδιο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διατίθενται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7.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Πρόγραμμα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Πιστότητας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Όταν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πρόγραμμα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επιβράβευσης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προσφέρεται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φυλλάδιο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διατίθεται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λεπτομερώς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κατάλληλες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πρόγραμμα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επιβράβευσης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διάθεση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συμμετεχόντων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περιλαμβάνονται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ρυθμίσεις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προγράμματος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επιβράβευσης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πότε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ανταμοιβές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δεδουλευμένα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εξοφληθούν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Συμμετοχή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ενημερώνονται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οφέλη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προκύψει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προγράμματος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επιβράβευσης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μέσω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διαφημιστικού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ταχυδρομείου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e-mail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περιοδική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βάση</w:t>
      </w:r>
      <w:r>
        <w:rPr>
          <w:rFonts w:ascii="TT15Ct00" w:hAnsi="TT15Ct00" w:cs="TT15Ct00"/>
        </w:rPr>
        <w:t>,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όπως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καθορίζεται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8. </w:t>
      </w:r>
      <w:r>
        <w:rPr>
          <w:rFonts w:ascii="Arial" w:hAnsi="Arial" w:cs="Arial"/>
        </w:rPr>
        <w:t>Προ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δεσμευτική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στρατηγική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ενθαρρύνει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παίζουν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ηλεκτρονικά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μηχανήματα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παιγνίων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ΕΓΣ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ορίσετε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χρονικό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όριο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ανάλογα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περιστάσεις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Υπεύθυνος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σήμανση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στα</w:t>
      </w:r>
      <w:r>
        <w:rPr>
          <w:rFonts w:ascii="TT15Ct00" w:hAnsi="TT15Ct00" w:cs="TT15Ct00"/>
        </w:rPr>
        <w:t xml:space="preserve"> EGM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βοηθήσει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κάνει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απόφαση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δέσμευσης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θέτοντας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όριο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διατηρώντας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Όλα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EGM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επιτρέπουν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παίκτη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παρακολουθεί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χρόνο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ποσό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χρημάτων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ξοδεύει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διάρκεια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ενεργοποιήσετε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παρακολούθηση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συνόδου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Οθόνη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Παίκτη</w:t>
      </w:r>
      <w:r>
        <w:rPr>
          <w:rFonts w:ascii="TT15Ct00" w:hAnsi="TT15Ct00" w:cs="TT15Ct00"/>
        </w:rPr>
        <w:t xml:space="preserve"> (PID)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ενημερωτικό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φυλλάδιο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προσφέρει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οποίος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απόφαση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προ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δέσμευσης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9.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δεσμεύεται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παροχή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συνεπών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υψηλών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επιπέδων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εξυπηρέτησης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όπως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συνεχώς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επίγνωση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ευθύνη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Στοιχηματισμό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λάβει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κατάρτιση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μέρους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επαγωγής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διοριστεί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Διευθυντής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Υπηρεσία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πάντα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ανοικτός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άτομο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πλησιάζει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πρόβλημα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εμφανίζει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ενδείξεις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πρόβλημα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κατευθύνεται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Αξιωματικός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Υπηρεσίας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βοήθεια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αναγκαία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μέτρα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Ένας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επιδεικνύει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σημάδια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αναστάτωσης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απαράδεκτης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προσεγγιστεί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προσφέρει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βοήθεια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δείκτες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προβληματικού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αλλά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περιορίζονται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οποίοι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i. </w:t>
      </w:r>
      <w:r>
        <w:rPr>
          <w:rFonts w:ascii="Arial" w:hAnsi="Arial" w:cs="Arial"/>
        </w:rPr>
        <w:t>απευθυνθείτε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αναζητούν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σχέση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πρόβλημα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ii. </w:t>
      </w:r>
      <w:r>
        <w:rPr>
          <w:rFonts w:ascii="Arial" w:hAnsi="Arial" w:cs="Arial"/>
        </w:rPr>
        <w:t>αυτοπροσδιορίζονται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iii. </w:t>
      </w:r>
      <w:r>
        <w:rPr>
          <w:rFonts w:ascii="Arial" w:hAnsi="Arial" w:cs="Arial"/>
        </w:rPr>
        <w:t>παίζει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μεγάλα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διαστήματα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χωρίς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διακοπή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iv.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αποφεύγοντας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ενώ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V.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δανείζεται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άλλους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vi. </w:t>
      </w:r>
      <w:r>
        <w:rPr>
          <w:rFonts w:ascii="Arial" w:hAnsi="Arial" w:cs="Arial"/>
        </w:rPr>
        <w:t>αντιπαραβάλλει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απόθεμα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φυλλάδια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πρόβλημα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VII. </w:t>
      </w:r>
      <w:r>
        <w:rPr>
          <w:rFonts w:ascii="Arial" w:hAnsi="Arial" w:cs="Arial"/>
        </w:rPr>
        <w:t>εμφανίζει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σημάδια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δυσφορίας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απαράδεκτης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και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VIII. </w:t>
      </w:r>
      <w:r>
        <w:rPr>
          <w:rFonts w:ascii="Arial" w:hAnsi="Arial" w:cs="Arial"/>
        </w:rPr>
        <w:t>εμφανίζει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επιθετική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αντι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κοινωνική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συναισθηματική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ενόσω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παίζει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διαδικασία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μέτρηση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βοήθεια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ανάλογα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περίπτωση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αξιολόγηση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κατάλληλο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λάβει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μορφή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i. </w:t>
      </w:r>
      <w:r>
        <w:rPr>
          <w:rFonts w:ascii="Arial" w:hAnsi="Arial" w:cs="Arial"/>
        </w:rPr>
        <w:t>ενθαρρύνοντας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εξετάζει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τρόφιμα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προσφέρει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επιτρέψει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διάλειμμα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μηχάνημα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lastRenderedPageBreak/>
        <w:t xml:space="preserve">ii. </w:t>
      </w:r>
      <w:r>
        <w:rPr>
          <w:rFonts w:ascii="Arial" w:hAnsi="Arial" w:cs="Arial"/>
        </w:rPr>
        <w:t>προσφέρει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κάποιο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αναψυκτικό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π</w:t>
      </w:r>
      <w:r>
        <w:rPr>
          <w:rFonts w:ascii="TT15Ct00" w:hAnsi="TT15Ct00" w:cs="TT15Ct00"/>
        </w:rPr>
        <w:t>.</w:t>
      </w:r>
      <w:r>
        <w:rPr>
          <w:rFonts w:ascii="Arial" w:hAnsi="Arial" w:cs="Arial"/>
        </w:rPr>
        <w:t>χ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φλιτζάνι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τσαγιού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καφέ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ήσυχο</w:t>
      </w:r>
      <w:r>
        <w:rPr>
          <w:rFonts w:ascii="TT15Ct00" w:hAnsi="TT15Ct00" w:cs="TT15Ct00"/>
        </w:rPr>
        <w:t>,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ιδιωτικό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όπου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δυνατότητα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ζητήσουν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κατάλληλες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εμπιστευτικό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τρόπο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iii. </w:t>
      </w:r>
      <w:r>
        <w:rPr>
          <w:rFonts w:ascii="Arial" w:hAnsi="Arial" w:cs="Arial"/>
        </w:rPr>
        <w:t>βοηθά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οργάνωση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ταξιδιού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προκειμένου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αναχωρήσει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επαφές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καταγράφονται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Responsible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περιστατικό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μητρώο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μέτρα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ελήφθησαν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κατάλογος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καλύπτεται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Νόμο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Προστασίας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Δεδομένων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Στοιχεία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περιλαμβάνονται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μητρώο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περιστατικό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i.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ημερομηνία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ώρα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συμβάντος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ii.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ονομασία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ες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υπαλλήλου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ες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εμπλέκονται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iii.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όνομα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εμπλέκεται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υπάρχει</w:t>
      </w:r>
      <w:r>
        <w:rPr>
          <w:rFonts w:ascii="TT15Ct00" w:hAnsi="TT15Ct00" w:cs="TT15Ct00"/>
        </w:rPr>
        <w:t>)?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iv. </w:t>
      </w:r>
      <w:r>
        <w:rPr>
          <w:rFonts w:ascii="Arial" w:hAnsi="Arial" w:cs="Arial"/>
        </w:rPr>
        <w:t>μία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περιγραφή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γενική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αναφορά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συμβάντος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V. </w:t>
      </w:r>
      <w:r>
        <w:rPr>
          <w:rFonts w:ascii="Arial" w:hAnsi="Arial" w:cs="Arial"/>
        </w:rPr>
        <w:t>μέτρα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λαμβάνονται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π</w:t>
      </w:r>
      <w:r>
        <w:rPr>
          <w:rFonts w:ascii="TT15Ct00" w:hAnsi="TT15Ct00" w:cs="TT15Ct00"/>
        </w:rPr>
        <w:t>.</w:t>
      </w:r>
      <w:r>
        <w:rPr>
          <w:rFonts w:ascii="Arial" w:hAnsi="Arial" w:cs="Arial"/>
        </w:rPr>
        <w:t>χ</w:t>
      </w:r>
      <w:r>
        <w:rPr>
          <w:rFonts w:ascii="TT15Ct00" w:hAnsi="TT15Ct00" w:cs="TT15Ct00"/>
        </w:rPr>
        <w:t xml:space="preserve">.: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παροχή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βοήθειας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Τζογαδόρους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Αυτο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Αποκλεισμού</w:t>
      </w:r>
      <w:r>
        <w:rPr>
          <w:rFonts w:ascii="TT15Ct00" w:hAnsi="TT15Ct00" w:cs="TT15Ct00"/>
        </w:rPr>
        <w:t>)?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10.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Σύμφωνα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νόμο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εργαζόμενοι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επιτρέπεται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παίζουν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στις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μηχανές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ενώ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διάρκεια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εργασίας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Ανάλογα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συγκεκριμένες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οδηγίες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εργοδότη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αλλάξει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καιρό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καιρό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εκτός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εργαζομένων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παίξει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προϋπόθεση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ενιαία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φορούσε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εξακρίβωση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ταυτότητάς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άδεια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απουσιάσει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πρόσφατη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αλλαγή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εκδίδονται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φύλλα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Κάθε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οποίος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δηλώνει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πρόβλημα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παρέχονται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συμβουλευτικής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φορέα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εκμετάλλευσης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(</w:t>
      </w:r>
      <w:r>
        <w:rPr>
          <w:rFonts w:ascii="Arial" w:hAnsi="Arial" w:cs="Arial"/>
        </w:rPr>
        <w:t>αρμόδιο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πρόσωπο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εμπιστευτικό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τρόπο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ενθαρρυνθούν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ακολουθήσουν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καθήκοντα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εάν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υπάρχει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11.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διεύθυνση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δεσμεύεται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διατήρηση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ισχυρών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δεσμών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τοπικές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υπηρεσίες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συναφών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φορέων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Ανώτερο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αρχίσουν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συνεδριάσεις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τακτά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χρονικά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διαστήματα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τοπική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Βοήθειας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Τζογαδόρους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εργαζόμενοι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ορίζονται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Υποστήριξης</w:t>
      </w:r>
      <w:r>
        <w:rPr>
          <w:rFonts w:ascii="TT15Ct00" w:hAnsi="TT15Ct00" w:cs="TT15Ct00"/>
        </w:rPr>
        <w:t xml:space="preserve"> (VSW)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Υπουργείο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Δικαιοσύνης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Παραδείγματα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συναντήσεων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o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Σύγκληση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ετήσια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σύνοδο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κατάρτισης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διευθύνεται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τοπική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υπηρεσία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Βοήθειας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Τζογαδόρους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o </w:t>
      </w:r>
      <w:r>
        <w:rPr>
          <w:rFonts w:ascii="Arial" w:hAnsi="Arial" w:cs="Arial"/>
        </w:rPr>
        <w:t>ετήσιες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συναντήσεις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μεταξύ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Venue Operator / Manager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Βοήθειας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Τζογαδόρων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VSW </w:t>
      </w:r>
      <w:r>
        <w:rPr>
          <w:rFonts w:ascii="Arial" w:hAnsi="Arial" w:cs="Arial"/>
        </w:rPr>
        <w:t>ορισθεί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o </w:t>
      </w:r>
      <w:r>
        <w:rPr>
          <w:rFonts w:ascii="Arial" w:hAnsi="Arial" w:cs="Arial"/>
        </w:rPr>
        <w:t>τακτική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μέσω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ηλεκτρονικού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ταχυδρομείου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υποστήριξης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Λεπτομέρειες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συναντήσεων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διατηρούνται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Responsible Gambling Folder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/ </w:t>
      </w:r>
      <w:r>
        <w:rPr>
          <w:rFonts w:ascii="Arial" w:hAnsi="Arial" w:cs="Arial"/>
        </w:rPr>
        <w:t>Εγγραφή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βρίσκεται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δωμάτιο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λεπτομέρειες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συνάντησης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ημερομηνία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ώρα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συνεδρίασης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συμμετέχοντες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συνάντηση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θέματα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συζητήθηκαν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αποτελέσματα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θέματα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δράσης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συνάντησης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ημερομηνία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επόμενης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συνάντησης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12. </w:t>
      </w: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παράπονο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τήρηση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λειτουργία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αυτού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υποβάλει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γραπτώς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απευθείας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διεύθυνση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Όλες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καταγγελίες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ελέγχονται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διευθυντή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βεβαιωθείτε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σχετίζεται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λειτουργία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εξυπηρέτηση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μηχανή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λειτουργία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απευθύνονται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Duty. </w:t>
      </w:r>
      <w:r>
        <w:rPr>
          <w:rFonts w:ascii="Arial" w:hAnsi="Arial" w:cs="Arial"/>
        </w:rPr>
        <w:t>Υπάλληλοι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βοηθήσει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διαδικασία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εάν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ζητηθεί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διερευνώνται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προσοχή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όσο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δυνατόν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συντομότερα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επιλύονται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ακόλουθο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τρόπο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όλες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αναγνωρίζεται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αμέσως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αποφασιστεί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εξεταστεί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παράπονο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επειδή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λειτουργία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ενημερωθεί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αναλόγως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κατά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διάρκεια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έρευνας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καταγγελίας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Διευθυντής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ζητήσει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ενδιαφερόμενο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αντικείμενο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καταγγελίας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Διευθυντής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διαπιστώσει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επεξεργασία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λογικά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σύμφωνα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Υπεύθυνου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συμπεριφοράς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βάσιμη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Διευθυντής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περιγράφει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λεπτομερώς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δράσεις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πρόκειται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ληφθούν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αντιμετώπιση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προβλήματος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πάντα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ενημερώνεται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έκβαση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καταγγελίας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λεπτομέρειες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παραπόνου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διατηρούνται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Φάκελο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Εγγραφή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πληροφορίες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παραχωρηθούν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VCGR </w:t>
      </w:r>
      <w:r>
        <w:rPr>
          <w:rFonts w:ascii="Arial" w:hAnsi="Arial" w:cs="Arial"/>
        </w:rPr>
        <w:t>εάν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ζητηθούν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επιλυθεί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προχωρεί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επίλυση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Ινστιτούτο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διαιτητών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διαμεσολαβητών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Αυστραλίας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ΙΑΜΑ</w:t>
      </w:r>
      <w:r>
        <w:rPr>
          <w:rFonts w:ascii="TT15Ct00" w:hAnsi="TT15Ct00" w:cs="TT15Ct00"/>
        </w:rPr>
        <w:t xml:space="preserve">). </w:t>
      </w:r>
      <w:r>
        <w:rPr>
          <w:rFonts w:ascii="Arial" w:hAnsi="Arial" w:cs="Arial"/>
        </w:rPr>
        <w:t>Κάθε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εμπλέκονται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επικοινωνήσει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IAMA.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ξεκινήσετε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καταγγελία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κόμμα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πάει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ιστοσελίδα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ΙΑΜΑ</w:t>
      </w:r>
      <w:r>
        <w:rPr>
          <w:rFonts w:ascii="TT15Ct00" w:hAnsi="TT15Ct00" w:cs="TT15Ct00"/>
        </w:rPr>
        <w:t xml:space="preserve"> (www.iama.org.au),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κατεβάσει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έντυπο</w:t>
      </w:r>
      <w:r>
        <w:rPr>
          <w:rFonts w:ascii="TT15Ct00" w:hAnsi="TT15Ct00" w:cs="TT15Ct00"/>
        </w:rPr>
        <w:t xml:space="preserve"> Resolver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διαφορών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συνέχεια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υποβάλει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συμπληρωμένο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έντυπο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αμοιβή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IAMA.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Τεκμηρίωση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όλα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παράπονα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εναντίον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διατηρούνται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στον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Φάκελο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Εγγραφή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πρόσβαση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VCGR </w:t>
      </w:r>
      <w:r>
        <w:rPr>
          <w:rFonts w:ascii="Arial" w:hAnsi="Arial" w:cs="Arial"/>
        </w:rPr>
        <w:t>όταν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χρειάζεται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13.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συμμόρφωση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απαγόρευση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ανηλίκων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ανήλικους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απαγορεύονται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Υπάρχουν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πινακίδες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κάθε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είσοδο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απαγορεύει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είσοδο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ανηλίκων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Όλο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ευθύνη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αναζήτηση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εγγράφων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απόδειξη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ηλικίας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εάν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σίγουρος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ηλικία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Ανάλογα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περίπτωση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απόδειξη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τεκμηρίωσης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ηλικία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καθοριστεί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ζητηθεί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αποχωρήσουν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14.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Περιβάλλον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ενθαρρύνονται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κάνουν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τακτικά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διαλείμματα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μηχανές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ενθάρρυνση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λάβει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μορφή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ανακοίνωσης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μεγαφωνικό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σύστημα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τόπου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περιλαμβάνουν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Ανακοινώνοντας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τσάι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πρωί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πλέον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διαθέσιμο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β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Ανακοινώνοντας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κλήρωση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μέλους</w:t>
      </w:r>
      <w:r>
        <w:rPr>
          <w:rFonts w:ascii="TT15Ct00" w:hAnsi="TT15Ct00" w:cs="TT15Ct00"/>
        </w:rPr>
        <w:t>?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γ</w:t>
      </w:r>
      <w:r>
        <w:rPr>
          <w:rFonts w:ascii="TT15Ct00" w:hAnsi="TT15Ct00" w:cs="TT15Ct00"/>
        </w:rPr>
        <w:t xml:space="preserve">) </w:t>
      </w:r>
      <w:r>
        <w:rPr>
          <w:rFonts w:ascii="Arial" w:hAnsi="Arial" w:cs="Arial"/>
        </w:rPr>
        <w:t>Ανακοινώνοντας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έναρξη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άλλων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</w:t>
      </w:r>
      <w:r>
        <w:rPr>
          <w:rFonts w:ascii="TT15Ct00" w:hAnsi="TT15Ct00" w:cs="TT15Ct00"/>
        </w:rPr>
        <w:t xml:space="preserve">-gaming </w:t>
      </w:r>
      <w:r>
        <w:rPr>
          <w:rFonts w:ascii="Arial" w:hAnsi="Arial" w:cs="Arial"/>
        </w:rPr>
        <w:t>δραστηριότητες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σχετίζονται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παρακολουθεί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επίσης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δραστηριότητες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πελατών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αλληλεπιδρούν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κατάλληλο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αποθαρρύνει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εμπλακεί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παρατεταμένη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εντατική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αλληλεπίδραση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λάβει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μορφή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διαλόγου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συνάδουν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γενικές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δέσμευση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φιλοξενίας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ξεκίνησε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σχετικά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διαθεσιμότητα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τροφίμων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ποτών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Ρολόγια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τοποθετηθούν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μεγάλες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περιοχές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ώστε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γνωρίζουν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πέρασμα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χρόνου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ώρα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όταν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κάνουν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ανακοινώσεις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δραστηριότητες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15. </w:t>
      </w:r>
      <w:r>
        <w:rPr>
          <w:rFonts w:ascii="Arial" w:hAnsi="Arial" w:cs="Arial"/>
        </w:rPr>
        <w:t>Οικονομικές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Συναλλαγές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εξαργυρώσουν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επιταγές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Εάν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προσπαθεί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εξαργυρώσει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επιταγή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υπάλληλος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ενημερώσει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εξαργυρώνονται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επιταγές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κέρδη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κάτω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$ </w:t>
      </w:r>
      <w:r w:rsidR="00A763DA">
        <w:rPr>
          <w:rFonts w:ascii="TT15Ct00" w:hAnsi="TT15Ct00" w:cs="TT15Ct00"/>
        </w:rPr>
        <w:t xml:space="preserve">2 </w:t>
      </w:r>
      <w:bookmarkStart w:id="0" w:name="_GoBack"/>
      <w:bookmarkEnd w:id="0"/>
      <w:r>
        <w:rPr>
          <w:rFonts w:ascii="TT15Ct00" w:hAnsi="TT15Ct00" w:cs="TT15Ct00"/>
        </w:rPr>
        <w:t xml:space="preserve">000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μηχανήματα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αυτόν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καταβληθεί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μετρητά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/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επιταγή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νόμο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όλα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κέρδη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συσσωρευμένες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πιστώσεις</w:t>
      </w:r>
      <w:r>
        <w:rPr>
          <w:rFonts w:ascii="TT15Ct00" w:hAnsi="TT15Ct00" w:cs="TT15Ct00"/>
        </w:rPr>
        <w:t xml:space="preserve"> $</w:t>
      </w:r>
    </w:p>
    <w:p w:rsidR="00CB3AD2" w:rsidRDefault="00F61F4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2</w:t>
      </w:r>
      <w:r w:rsidR="00CB3AD2">
        <w:rPr>
          <w:rFonts w:ascii="TT15Ct00" w:hAnsi="TT15Ct00" w:cs="TT15Ct00"/>
        </w:rPr>
        <w:t xml:space="preserve">,000 </w:t>
      </w:r>
      <w:r w:rsidR="00CB3AD2">
        <w:rPr>
          <w:rFonts w:ascii="Arial" w:hAnsi="Arial" w:cs="Arial"/>
        </w:rPr>
        <w:t>ή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περισσότερο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πρέπει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να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καταβληθεί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εξ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ολοκλήρου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με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επιταγή</w:t>
      </w:r>
      <w:r w:rsidR="00CB3AD2">
        <w:rPr>
          <w:rFonts w:ascii="TT15Ct00" w:hAnsi="TT15Ct00" w:cs="TT15Ct00"/>
        </w:rPr>
        <w:t xml:space="preserve">, </w:t>
      </w:r>
      <w:r w:rsidR="00CB3AD2">
        <w:rPr>
          <w:rFonts w:ascii="Arial" w:hAnsi="Arial" w:cs="Arial"/>
        </w:rPr>
        <w:t>η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οποία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δεν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μπορεί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να</w:t>
      </w:r>
      <w:r w:rsidR="00CB3AD2">
        <w:rPr>
          <w:rFonts w:ascii="TT15Ct00" w:hAnsi="TT15Ct00" w:cs="TT15Ct00"/>
        </w:rPr>
        <w:t xml:space="preserve"> </w:t>
      </w:r>
      <w:r w:rsidR="00CB3AD2">
        <w:rPr>
          <w:rFonts w:ascii="Arial" w:hAnsi="Arial" w:cs="Arial"/>
        </w:rPr>
        <w:t>γίνει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σε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μετρητά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Αυτά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κέρδη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συσσωρευμένες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πιστώσεις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μπορούν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παρέχονται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ως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πιστώσεις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μηχανημάτων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Ένα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αρχείο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πληρωμής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κερδών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διατηρείται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αίθουσα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16. </w:t>
      </w:r>
      <w:r>
        <w:rPr>
          <w:rFonts w:ascii="Arial" w:hAnsi="Arial" w:cs="Arial"/>
        </w:rPr>
        <w:t>Υπεύθυνος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Διαφήμισης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Προώθησης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Un-</w:t>
      </w:r>
      <w:r>
        <w:rPr>
          <w:rFonts w:ascii="Arial" w:hAnsi="Arial" w:cs="Arial"/>
        </w:rPr>
        <w:t>παραγγελθεί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διαφήμιση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Ηλεκτρονικών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Μηχανημάτων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Παιχνιδιών</w:t>
      </w:r>
      <w:r>
        <w:rPr>
          <w:rFonts w:ascii="TT15Ct00" w:hAnsi="TT15Ct00" w:cs="TT15Ct00"/>
        </w:rPr>
        <w:t xml:space="preserve"> (EGM) </w:t>
      </w:r>
      <w:r>
        <w:rPr>
          <w:rFonts w:ascii="Arial" w:hAnsi="Arial" w:cs="Arial"/>
        </w:rPr>
        <w:t>τα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προϊόντα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απαγορεύεται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Βικτώρια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Όλες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</w:t>
      </w:r>
      <w:r>
        <w:rPr>
          <w:rFonts w:ascii="TT15Ct00" w:hAnsi="TT15Ct00" w:cs="TT15Ct00"/>
        </w:rPr>
        <w:t>-</w:t>
      </w:r>
      <w:r>
        <w:rPr>
          <w:rFonts w:ascii="Arial" w:hAnsi="Arial" w:cs="Arial"/>
        </w:rPr>
        <w:t>Έκτακτη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Γενική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Συνέλευση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διαφημίσεις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γίνονται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λογαριασμό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συμμορφώνονται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διαφήμισης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δεοντολογίας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εγκρίθηκε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Αυστραλιανό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Σύνδεσμο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Εθνικών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Διαφημιστών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Περαιτέρω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λέσχη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διασφαλίσει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διαφημιστικό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υλικό</w:t>
      </w:r>
      <w:r>
        <w:rPr>
          <w:rFonts w:ascii="TT15Ct00" w:hAnsi="TT15Ct00" w:cs="TT15Ct00"/>
        </w:rPr>
        <w:t>: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ψευδείς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παραπλανητικές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απατηλό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όσον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αφορά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απόδοση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δώρα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πιθανότητες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κέρδους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συναίνεση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οποιουδήποτε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ατόμου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αναγνωρίζεται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έχει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κερδίσει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δώρο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πριν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δημοσίευσή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προσβλητικής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αισχρής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φύσης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δημιουργήσει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εντύπωση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τζόγος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είναι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λογική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στρατηγική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οικονομική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βελτίωση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• </w:t>
      </w:r>
      <w:r>
        <w:rPr>
          <w:rFonts w:ascii="Arial" w:hAnsi="Arial" w:cs="Arial"/>
        </w:rPr>
        <w:t>δεν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προωθεί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κατανάλωση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αλκοόλ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κατά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αγορά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προϊόντων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τυχερά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παιχνίδια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17. </w:t>
      </w:r>
      <w:r>
        <w:rPr>
          <w:rFonts w:ascii="Arial" w:hAnsi="Arial" w:cs="Arial"/>
        </w:rPr>
        <w:t>Αναθεώρηση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Αυτός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επανεξετάζεται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ετησίως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διασφαλιστεί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ότι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συμμορφώνεται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με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τον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κανονισμό</w:t>
      </w:r>
      <w:r>
        <w:rPr>
          <w:rFonts w:ascii="TT15Ct00" w:hAnsi="TT15Ct00" w:cs="TT15Ct00"/>
        </w:rPr>
        <w:t xml:space="preserve"> Gambling Act 2003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τις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σχετικές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υπουργικές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οδηγίες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Ο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συγγραφέας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Κωδικός</w:t>
      </w:r>
      <w:r>
        <w:rPr>
          <w:rFonts w:ascii="TT15Ct00" w:hAnsi="TT15Ct00" w:cs="TT15Ct00"/>
        </w:rPr>
        <w:t xml:space="preserve"> - </w:t>
      </w:r>
      <w:r>
        <w:rPr>
          <w:rFonts w:ascii="Arial" w:hAnsi="Arial" w:cs="Arial"/>
        </w:rPr>
        <w:t>η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Αυστραλιανή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Ένωση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Ξενοδόχων</w:t>
      </w:r>
      <w:r>
        <w:rPr>
          <w:rFonts w:ascii="TT15Ct00" w:hAnsi="TT15Ct00" w:cs="TT15Ct00"/>
        </w:rPr>
        <w:t xml:space="preserve"> (</w:t>
      </w:r>
      <w:r>
        <w:rPr>
          <w:rFonts w:ascii="Arial" w:hAnsi="Arial" w:cs="Arial"/>
        </w:rPr>
        <w:t>Βικτώρια</w:t>
      </w:r>
      <w:r>
        <w:rPr>
          <w:rFonts w:ascii="TT15Ct00" w:hAnsi="TT15Ct00" w:cs="TT15Ct00"/>
        </w:rPr>
        <w:t xml:space="preserve">) -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διευκολύνει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ετήσια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επισκόπηση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λογαριασμό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συμμετεχόντων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φορέων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lastRenderedPageBreak/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λειτουργία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αποτελεσματικότητα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Κώδικα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προηγούμενους</w:t>
      </w:r>
      <w:r>
        <w:rPr>
          <w:rFonts w:ascii="TT15Ct00" w:hAnsi="TT15Ct00" w:cs="TT15Ct00"/>
        </w:rPr>
        <w:t xml:space="preserve"> 12 </w:t>
      </w:r>
      <w:r>
        <w:rPr>
          <w:rFonts w:ascii="Arial" w:hAnsi="Arial" w:cs="Arial"/>
        </w:rPr>
        <w:t>μήνες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πρέπει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επίσης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να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αναθεωρηθεί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αυτή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στιγμή</w:t>
      </w:r>
      <w:r>
        <w:rPr>
          <w:rFonts w:ascii="TT15Ct00" w:hAnsi="TT15Ct00" w:cs="TT15Ct00"/>
        </w:rPr>
        <w:t xml:space="preserve">. </w:t>
      </w:r>
      <w:r>
        <w:rPr>
          <w:rFonts w:ascii="Arial" w:hAnsi="Arial" w:cs="Arial"/>
        </w:rPr>
        <w:t>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επανεξέταση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επιδιώκει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σχόλια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από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τα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ενδιαφερόμενα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Arial" w:hAnsi="Arial" w:cs="Arial"/>
        </w:rPr>
        <w:t>μέρη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συμπεριλαμβανομένου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του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προσωπικού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χώρου</w:t>
      </w:r>
      <w:r>
        <w:rPr>
          <w:rFonts w:ascii="TT15Ct00" w:hAnsi="TT15Ct00" w:cs="TT15Ct00"/>
        </w:rPr>
        <w:t xml:space="preserve">, </w:t>
      </w:r>
      <w:r>
        <w:rPr>
          <w:rFonts w:ascii="Arial" w:hAnsi="Arial" w:cs="Arial"/>
        </w:rPr>
        <w:t>τους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πελάτες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και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υπηρεσίες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στήριξης</w:t>
      </w:r>
      <w:r>
        <w:rPr>
          <w:rFonts w:ascii="TT15Ct00" w:hAnsi="TT15Ct00" w:cs="TT15Ct00"/>
        </w:rPr>
        <w:t xml:space="preserve"> </w:t>
      </w:r>
      <w:r>
        <w:rPr>
          <w:rFonts w:ascii="Arial" w:hAnsi="Arial" w:cs="Arial"/>
        </w:rPr>
        <w:t>για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 xml:space="preserve">προβλήματα </w:t>
      </w:r>
      <w:r>
        <w:rPr>
          <w:rFonts w:ascii="Arial" w:hAnsi="Arial" w:cs="Arial"/>
        </w:rPr>
        <w:t>τζόγου</w:t>
      </w:r>
      <w:r>
        <w:rPr>
          <w:rFonts w:ascii="TT15Ct00" w:hAnsi="TT15Ct00" w:cs="TT15Ct00"/>
        </w:rPr>
        <w:t>.</w:t>
      </w:r>
    </w:p>
    <w:p w:rsidR="00CB3AD2" w:rsidRDefault="00CB3AD2" w:rsidP="00CB3AD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</w:rPr>
      </w:pPr>
      <w:r>
        <w:rPr>
          <w:rFonts w:ascii="TT15Ct00" w:hAnsi="TT15Ct00" w:cs="TT15Ct00"/>
        </w:rPr>
        <w:t>Οι απαιτούμενες αλλαγές θα σημειωθούν και έπειτα θα υλοποιηθούν όπου είναι δυνατό.</w:t>
      </w:r>
    </w:p>
    <w:p w:rsidR="000D5230" w:rsidRPr="00CB3AD2" w:rsidRDefault="00CB3AD2" w:rsidP="00CB3AD2">
      <w:r>
        <w:rPr>
          <w:rFonts w:ascii="TT15Ct00" w:hAnsi="TT15Ct00" w:cs="TT15Ct00"/>
        </w:rPr>
        <w:t xml:space="preserve">Οποιεσδήποτε αλλαγές θα καταχωρηθούν στον Φάκελο / Μητρώο του </w:t>
      </w:r>
      <w:proofErr w:type="gramStart"/>
      <w:r>
        <w:rPr>
          <w:rFonts w:ascii="TT15Ct00" w:hAnsi="TT15Ct00" w:cs="TT15Ct00"/>
        </w:rPr>
        <w:t>χώρου.</w:t>
      </w:r>
      <w:r>
        <w:rPr>
          <w:rFonts w:ascii="TT15Ct00" w:hAnsi="TT15Ct00" w:cs="TT15Ct00"/>
          <w:sz w:val="20"/>
          <w:szCs w:val="20"/>
        </w:rPr>
        <w:t>_</w:t>
      </w:r>
      <w:proofErr w:type="gramEnd"/>
      <w:r>
        <w:rPr>
          <w:rFonts w:ascii="TT15Ct00" w:hAnsi="TT15Ct00" w:cs="TT15Ct00"/>
          <w:sz w:val="20"/>
          <w:szCs w:val="20"/>
        </w:rPr>
        <w:t>_</w:t>
      </w:r>
    </w:p>
    <w:sectPr w:rsidR="000D5230" w:rsidRPr="00CB3A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Yu Gothic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54"/>
    <w:rsid w:val="0022491A"/>
    <w:rsid w:val="00A763DA"/>
    <w:rsid w:val="00BD6054"/>
    <w:rsid w:val="00CB3AD2"/>
    <w:rsid w:val="00E15CFB"/>
    <w:rsid w:val="00F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C227"/>
  <w15:docId w15:val="{50D14057-5964-4A8A-B023-8FC3FC5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Kimberley Malcolm</cp:lastModifiedBy>
  <cp:revision>3</cp:revision>
  <dcterms:created xsi:type="dcterms:W3CDTF">2018-09-25T04:08:00Z</dcterms:created>
  <dcterms:modified xsi:type="dcterms:W3CDTF">2018-09-25T04:25:00Z</dcterms:modified>
</cp:coreProperties>
</file>